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20" w:rsidRPr="00F11BA5" w:rsidRDefault="00730420" w:rsidP="003352A7">
      <w:pPr>
        <w:ind w:right="5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52A7" w:rsidRPr="00F11BA5" w:rsidRDefault="004348E9" w:rsidP="003352A7">
      <w:pPr>
        <w:ind w:right="520"/>
        <w:jc w:val="center"/>
        <w:rPr>
          <w:rFonts w:asciiTheme="minorHAnsi" w:hAnsiTheme="minorHAnsi" w:cstheme="minorHAnsi"/>
          <w:b/>
        </w:rPr>
      </w:pPr>
      <w:r w:rsidRPr="00F11BA5">
        <w:rPr>
          <w:rFonts w:asciiTheme="minorHAnsi" w:hAnsiTheme="minorHAnsi" w:cstheme="minorHAnsi"/>
          <w:b/>
        </w:rPr>
        <w:t>RFP</w:t>
      </w:r>
      <w:r w:rsidR="003352A7" w:rsidRPr="00F11BA5">
        <w:rPr>
          <w:rFonts w:asciiTheme="minorHAnsi" w:hAnsiTheme="minorHAnsi" w:cstheme="minorHAnsi"/>
          <w:b/>
        </w:rPr>
        <w:t>#</w:t>
      </w:r>
      <w:r w:rsidRPr="00F11BA5">
        <w:rPr>
          <w:rFonts w:asciiTheme="minorHAnsi" w:eastAsiaTheme="minorHAnsi" w:hAnsiTheme="minorHAnsi" w:cstheme="minorHAnsi"/>
        </w:rPr>
        <w:t xml:space="preserve"> </w:t>
      </w:r>
      <w:r w:rsidRPr="00F11BA5">
        <w:rPr>
          <w:rFonts w:asciiTheme="minorHAnsi" w:hAnsiTheme="minorHAnsi" w:cstheme="minorHAnsi"/>
          <w:b/>
        </w:rPr>
        <w:t>FY1</w:t>
      </w:r>
      <w:r w:rsidR="006250D8">
        <w:rPr>
          <w:rFonts w:asciiTheme="minorHAnsi" w:hAnsiTheme="minorHAnsi" w:cstheme="minorHAnsi"/>
          <w:b/>
        </w:rPr>
        <w:t>920-CaseComplexity-001</w:t>
      </w:r>
    </w:p>
    <w:p w:rsidR="009F718E" w:rsidRPr="00F11BA5" w:rsidRDefault="00015C5E" w:rsidP="003352A7">
      <w:pPr>
        <w:ind w:right="520"/>
        <w:jc w:val="center"/>
        <w:rPr>
          <w:rFonts w:asciiTheme="minorHAnsi" w:hAnsiTheme="minorHAnsi" w:cstheme="minorHAnsi"/>
          <w:b/>
        </w:rPr>
      </w:pPr>
      <w:r w:rsidRPr="00F11BA5">
        <w:rPr>
          <w:rFonts w:asciiTheme="minorHAnsi" w:hAnsiTheme="minorHAnsi" w:cstheme="minorHAnsi"/>
          <w:b/>
        </w:rPr>
        <w:t>Response to Written Inquires</w:t>
      </w:r>
    </w:p>
    <w:p w:rsidR="00015C5E" w:rsidRPr="00F11BA5" w:rsidRDefault="004864AD" w:rsidP="003352A7">
      <w:pPr>
        <w:ind w:right="5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Posted on </w:t>
      </w:r>
      <w:r w:rsidR="006250D8">
        <w:rPr>
          <w:rFonts w:asciiTheme="minorHAnsi" w:hAnsiTheme="minorHAnsi" w:cstheme="minorHAnsi"/>
          <w:b/>
        </w:rPr>
        <w:t>3/4/20</w:t>
      </w:r>
    </w:p>
    <w:p w:rsidR="000968FC" w:rsidRPr="00F11BA5" w:rsidRDefault="00F14D04" w:rsidP="000968FC">
      <w:pPr>
        <w:ind w:right="520"/>
        <w:rPr>
          <w:rFonts w:asciiTheme="minorHAnsi" w:hAnsiTheme="minorHAnsi" w:cstheme="minorHAnsi"/>
          <w:b/>
          <w:sz w:val="20"/>
          <w:szCs w:val="20"/>
        </w:rPr>
      </w:pPr>
      <w:r w:rsidRPr="00F11BA5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6930"/>
      </w:tblGrid>
      <w:tr w:rsidR="002A3426" w:rsidRPr="00F11BA5" w:rsidTr="002A3426">
        <w:tc>
          <w:tcPr>
            <w:tcW w:w="9180" w:type="dxa"/>
            <w:gridSpan w:val="2"/>
            <w:shd w:val="clear" w:color="auto" w:fill="C6D9F1" w:themeFill="text2" w:themeFillTint="33"/>
          </w:tcPr>
          <w:p w:rsidR="006250D8" w:rsidRPr="00F11BA5" w:rsidRDefault="002A3426" w:rsidP="006250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Submitted by </w:t>
            </w:r>
            <w:r w:rsidR="006250D8">
              <w:rPr>
                <w:rFonts w:asciiTheme="minorHAnsi" w:hAnsiTheme="minorHAnsi" w:cstheme="minorHAnsi"/>
                <w:b/>
                <w:sz w:val="20"/>
                <w:szCs w:val="20"/>
              </w:rPr>
              <w:t>Adventurous Analytics, LLC. on 3/02/20</w:t>
            </w:r>
          </w:p>
        </w:tc>
      </w:tr>
      <w:tr w:rsidR="002A3426" w:rsidRPr="00F11BA5" w:rsidTr="002A3426">
        <w:trPr>
          <w:trHeight w:val="530"/>
        </w:trPr>
        <w:tc>
          <w:tcPr>
            <w:tcW w:w="2250" w:type="dxa"/>
            <w:shd w:val="clear" w:color="auto" w:fill="C6D9F1" w:themeFill="text2" w:themeFillTint="33"/>
          </w:tcPr>
          <w:p w:rsidR="002A3426" w:rsidRPr="00F11BA5" w:rsidRDefault="002A3426" w:rsidP="002A3426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 1</w:t>
            </w:r>
          </w:p>
        </w:tc>
        <w:tc>
          <w:tcPr>
            <w:tcW w:w="6930" w:type="dxa"/>
          </w:tcPr>
          <w:p w:rsidR="006250D8" w:rsidRPr="00F72E73" w:rsidRDefault="006250D8" w:rsidP="006250D8">
            <w:pPr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 xml:space="preserve">Section </w:t>
            </w:r>
            <w:r w:rsidR="00B2587C" w:rsidRPr="00F72E73">
              <w:rPr>
                <w:rFonts w:ascii="Calibri" w:hAnsi="Calibri" w:cs="Calibri"/>
              </w:rPr>
              <w:t>A Part</w:t>
            </w:r>
            <w:r w:rsidRPr="00F72E73">
              <w:rPr>
                <w:rFonts w:ascii="Calibri" w:hAnsi="Calibri" w:cs="Calibri"/>
              </w:rPr>
              <w:t xml:space="preserve"> 3 near top of Page 5 describes, "Data tool should be designed in a way that can feed, process and output results in an automated fashion so that it can be scheduled and easily integrated with systems already in use by Embrace Families CBC."</w:t>
            </w:r>
          </w:p>
          <w:p w:rsidR="006250D8" w:rsidRPr="00F72E73" w:rsidRDefault="006250D8" w:rsidP="006250D8">
            <w:pPr>
              <w:numPr>
                <w:ilvl w:val="1"/>
                <w:numId w:val="16"/>
              </w:numPr>
              <w:ind w:left="589" w:hanging="540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 xml:space="preserve">How will data </w:t>
            </w:r>
            <w:r>
              <w:rPr>
                <w:rFonts w:ascii="Calibri" w:hAnsi="Calibri" w:cs="Calibri"/>
              </w:rPr>
              <w:t xml:space="preserve">be available </w:t>
            </w:r>
            <w:r w:rsidRPr="00F72E73">
              <w:rPr>
                <w:rFonts w:ascii="Calibri" w:hAnsi="Calibri" w:cs="Calibri"/>
              </w:rPr>
              <w:t>for development?</w:t>
            </w:r>
          </w:p>
          <w:p w:rsidR="006250D8" w:rsidRPr="004B67C3" w:rsidRDefault="006250D8" w:rsidP="006250D8">
            <w:pPr>
              <w:numPr>
                <w:ilvl w:val="2"/>
                <w:numId w:val="16"/>
              </w:numPr>
              <w:ind w:left="589" w:firstLine="90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During </w:t>
            </w:r>
            <w:r w:rsidRPr="00F72E73">
              <w:rPr>
                <w:rFonts w:ascii="Calibri" w:hAnsi="Calibri" w:cs="Calibri"/>
              </w:rPr>
              <w:t>the RC project data was provided in delimited text files.  Will the same process be used for the CCDT project or will we have access to a development and/or test environment database?</w:t>
            </w:r>
            <w:r>
              <w:rPr>
                <w:rFonts w:ascii="Calibri" w:hAnsi="Calibri" w:cs="Calibri"/>
              </w:rPr>
              <w:t xml:space="preserve">  </w:t>
            </w:r>
          </w:p>
          <w:p w:rsidR="006250D8" w:rsidRPr="00F72E73" w:rsidRDefault="006250D8" w:rsidP="006250D8">
            <w:pPr>
              <w:numPr>
                <w:ilvl w:val="1"/>
                <w:numId w:val="16"/>
              </w:numPr>
              <w:ind w:left="589" w:hanging="540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>How will data be available to the tool in the production environment?</w:t>
            </w:r>
          </w:p>
          <w:p w:rsidR="006250D8" w:rsidRPr="00F72E73" w:rsidRDefault="006250D8" w:rsidP="006250D8">
            <w:pPr>
              <w:numPr>
                <w:ilvl w:val="2"/>
                <w:numId w:val="16"/>
              </w:numPr>
              <w:ind w:left="589" w:firstLine="90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F72E73">
              <w:rPr>
                <w:rFonts w:ascii="Calibri" w:hAnsi="Calibri" w:cs="Calibri"/>
              </w:rPr>
              <w:t>For example, will the tool need to expect refreshed text files on a schedule, or will the tool have access to source databases for inputs in the production environment</w:t>
            </w:r>
            <w:r>
              <w:rPr>
                <w:rFonts w:ascii="Calibri" w:hAnsi="Calibri" w:cs="Calibri"/>
              </w:rPr>
              <w:t xml:space="preserve"> such as an ODBC connection</w:t>
            </w:r>
            <w:r w:rsidRPr="00F72E73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 </w:t>
            </w:r>
          </w:p>
          <w:p w:rsidR="006250D8" w:rsidRPr="00F72E73" w:rsidRDefault="006250D8" w:rsidP="006250D8">
            <w:pPr>
              <w:numPr>
                <w:ilvl w:val="1"/>
                <w:numId w:val="16"/>
              </w:numPr>
              <w:ind w:left="589" w:hanging="540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>Do you intend the end solution to have a GUI</w:t>
            </w:r>
            <w:r>
              <w:rPr>
                <w:rFonts w:ascii="Calibri" w:hAnsi="Calibri" w:cs="Calibri"/>
              </w:rPr>
              <w:t xml:space="preserve"> Graphical User Interface (GUI)? </w:t>
            </w:r>
          </w:p>
          <w:p w:rsidR="006250D8" w:rsidRPr="00F72E73" w:rsidRDefault="006250D8" w:rsidP="006250D8">
            <w:pPr>
              <w:numPr>
                <w:ilvl w:val="1"/>
                <w:numId w:val="16"/>
              </w:numPr>
              <w:ind w:left="589" w:hanging="540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 xml:space="preserve">What </w:t>
            </w:r>
            <w:r>
              <w:rPr>
                <w:rFonts w:ascii="Calibri" w:hAnsi="Calibri" w:cs="Calibri"/>
              </w:rPr>
              <w:t xml:space="preserve">existing </w:t>
            </w:r>
            <w:r w:rsidRPr="00F72E73">
              <w:rPr>
                <w:rFonts w:ascii="Calibri" w:hAnsi="Calibri" w:cs="Calibri"/>
              </w:rPr>
              <w:t>system(s) does the tool need to integrate with?  If there are specific requirements for the output format or integration with another software's API, please provide details.</w:t>
            </w:r>
          </w:p>
          <w:p w:rsidR="006250D8" w:rsidRPr="002A7EBA" w:rsidRDefault="006250D8" w:rsidP="006250D8">
            <w:pPr>
              <w:numPr>
                <w:ilvl w:val="2"/>
                <w:numId w:val="16"/>
              </w:numPr>
              <w:ind w:left="589" w:firstLine="90"/>
              <w:textAlignment w:val="center"/>
              <w:rPr>
                <w:rFonts w:ascii="Calibri" w:hAnsi="Calibri" w:cs="Calibri"/>
                <w:color w:val="4F81BD" w:themeColor="accent1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F72E73">
              <w:rPr>
                <w:rFonts w:ascii="Calibri" w:hAnsi="Calibri" w:cs="Calibri"/>
              </w:rPr>
              <w:t>From our experience on the RC project we believe the intent here may be output in JSON format that will be consumed by internal Embrace Families team members.  Is th</w:t>
            </w:r>
            <w:r>
              <w:rPr>
                <w:rFonts w:ascii="Calibri" w:hAnsi="Calibri" w:cs="Calibri"/>
              </w:rPr>
              <w:t xml:space="preserve">e intent similar in the CCDT project?  </w:t>
            </w:r>
          </w:p>
          <w:p w:rsidR="006250D8" w:rsidRDefault="006250D8" w:rsidP="006250D8">
            <w:pPr>
              <w:numPr>
                <w:ilvl w:val="1"/>
                <w:numId w:val="16"/>
              </w:numPr>
              <w:ind w:left="589" w:hanging="589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database does Embrace Families utilize with manufacturer &amp; version (ex. MS SQL Enterprise 2017)? </w:t>
            </w:r>
            <w:r w:rsidRPr="002A7EBA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  <w:p w:rsidR="006250D8" w:rsidRDefault="006250D8" w:rsidP="006250D8">
            <w:pPr>
              <w:pStyle w:val="NormalWeb"/>
              <w:ind w:left="589" w:hanging="589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f.         </w:t>
            </w:r>
            <w:r w:rsidRPr="006250D8">
              <w:rPr>
                <w:rFonts w:ascii="Calibri" w:eastAsia="Times New Roman" w:hAnsi="Calibri" w:cs="Calibri"/>
                <w:sz w:val="22"/>
                <w:szCs w:val="22"/>
              </w:rPr>
              <w:t xml:space="preserve">What is the target operating system and version (ex. Windows Server 2016 Standard)?  </w:t>
            </w:r>
          </w:p>
          <w:p w:rsidR="004B1BAF" w:rsidRDefault="004B1BAF" w:rsidP="006250D8">
            <w:pPr>
              <w:pStyle w:val="NormalWeb"/>
              <w:ind w:left="589" w:hanging="589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6250D8" w:rsidRPr="006250D8" w:rsidRDefault="006250D8" w:rsidP="006250D8">
            <w:pPr>
              <w:pStyle w:val="NormalWeb"/>
              <w:ind w:left="589" w:hanging="589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A3426" w:rsidRPr="00F11BA5" w:rsidTr="00F11BA5">
        <w:trPr>
          <w:trHeight w:val="3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426" w:rsidRPr="00F11BA5" w:rsidRDefault="002A3426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6" w:rsidRDefault="006250D8" w:rsidP="00F11BA5">
            <w:pPr>
              <w:pStyle w:val="NormalWeb"/>
              <w:tabs>
                <w:tab w:val="left" w:pos="4785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  <w:r w:rsidRPr="006250D8">
              <w:rPr>
                <w:rFonts w:ascii="Calibri" w:eastAsia="Times New Roman" w:hAnsi="Calibri" w:cs="Calibri"/>
                <w:b/>
                <w:sz w:val="22"/>
                <w:szCs w:val="22"/>
              </w:rPr>
              <w:t>a.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6250D8">
              <w:rPr>
                <w:rFonts w:ascii="Calibri" w:eastAsia="Times New Roman" w:hAnsi="Calibri" w:cs="Calibri"/>
                <w:sz w:val="22"/>
                <w:szCs w:val="22"/>
              </w:rPr>
              <w:t>Data will be provided via secure FTP in pipe delimited format.  Several files will be included.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6250D8">
              <w:rPr>
                <w:rFonts w:ascii="Calibri" w:eastAsia="Times New Roman" w:hAnsi="Calibri" w:cs="Calibri"/>
                <w:b/>
                <w:sz w:val="22"/>
                <w:szCs w:val="22"/>
              </w:rPr>
              <w:t>b.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6250D8">
              <w:rPr>
                <w:rFonts w:ascii="Calibri" w:eastAsia="Times New Roman" w:hAnsi="Calibri" w:cs="Calibri"/>
                <w:sz w:val="22"/>
                <w:szCs w:val="22"/>
              </w:rPr>
              <w:t>The tool will need to be able to be scheduled to run (or run manually when needed).  When the tool executes, it will need to look for input files in a specified by the tool.  After the predictive model executes, it needs to create a pipe delimited export file that can be imported into a production system.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6250D8">
              <w:rPr>
                <w:rFonts w:ascii="Calibri" w:eastAsia="Times New Roman" w:hAnsi="Calibri" w:cs="Calibri"/>
                <w:b/>
                <w:sz w:val="22"/>
                <w:szCs w:val="22"/>
              </w:rPr>
              <w:t>c.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6250D8">
              <w:rPr>
                <w:rFonts w:ascii="Calibri" w:eastAsia="Times New Roman" w:hAnsi="Calibri" w:cs="Calibri"/>
                <w:sz w:val="22"/>
                <w:szCs w:val="22"/>
              </w:rPr>
              <w:t>It is not required (especially for the end consumer), however a GUI for administrative purpose could be helpful (specifying import file location, export file location, scheduling options, etc.).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6250D8">
              <w:rPr>
                <w:rFonts w:ascii="Calibri" w:eastAsia="Times New Roman" w:hAnsi="Calibri" w:cs="Calibri"/>
                <w:b/>
                <w:sz w:val="22"/>
                <w:szCs w:val="22"/>
              </w:rPr>
              <w:t>d.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6250D8">
              <w:rPr>
                <w:rFonts w:ascii="Calibri" w:eastAsia="Times New Roman" w:hAnsi="Calibri" w:cs="Calibri"/>
                <w:sz w:val="22"/>
                <w:szCs w:val="22"/>
              </w:rPr>
              <w:t>JSON would be acceptable.  Exporting to pipe delimited text file is preferred.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6250D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e. </w:t>
            </w:r>
            <w:r w:rsidRPr="006250D8">
              <w:rPr>
                <w:rFonts w:ascii="Calibri" w:eastAsia="Times New Roman" w:hAnsi="Calibri" w:cs="Calibri"/>
                <w:sz w:val="22"/>
                <w:szCs w:val="22"/>
              </w:rPr>
              <w:t>MS SQL 2016.</w:t>
            </w:r>
            <w:r w:rsidRPr="006250D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f.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6250D8">
              <w:rPr>
                <w:rFonts w:ascii="Calibri" w:eastAsia="Times New Roman" w:hAnsi="Calibri" w:cs="Calibri"/>
                <w:sz w:val="22"/>
                <w:szCs w:val="22"/>
              </w:rPr>
              <w:t>Window Server 2016 Datacenter.</w:t>
            </w:r>
          </w:p>
          <w:p w:rsidR="006250D8" w:rsidRDefault="006250D8" w:rsidP="00F11BA5">
            <w:pPr>
              <w:pStyle w:val="NormalWeb"/>
              <w:tabs>
                <w:tab w:val="left" w:pos="4785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6250D8" w:rsidRDefault="006250D8" w:rsidP="00F11BA5">
            <w:pPr>
              <w:pStyle w:val="NormalWeb"/>
              <w:tabs>
                <w:tab w:val="left" w:pos="4785"/>
              </w:tabs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6250D8" w:rsidRPr="006250D8" w:rsidRDefault="006250D8" w:rsidP="00F11BA5">
            <w:pPr>
              <w:pStyle w:val="NormalWeb"/>
              <w:tabs>
                <w:tab w:val="left" w:pos="478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14D04" w:rsidRPr="00F11BA5" w:rsidTr="00F11BA5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Question 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8" w:rsidRDefault="006250D8" w:rsidP="006250D8">
            <w:pPr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oncerning case load optimization</w:t>
            </w:r>
            <w:r>
              <w:rPr>
                <w:rFonts w:ascii="Calibri" w:hAnsi="Calibri" w:cs="Calibri"/>
              </w:rPr>
              <w:t>:</w:t>
            </w:r>
          </w:p>
          <w:p w:rsidR="006250D8" w:rsidRDefault="006250D8" w:rsidP="006250D8">
            <w:pPr>
              <w:numPr>
                <w:ilvl w:val="1"/>
                <w:numId w:val="17"/>
              </w:numPr>
              <w:ind w:left="499" w:hanging="499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F72E73">
              <w:rPr>
                <w:rFonts w:ascii="Calibri" w:hAnsi="Calibri" w:cs="Calibri"/>
              </w:rPr>
              <w:t>s it valid to assume that once a case is assigned to a case manager, it is undesirable to re-assign the case to a different case manager</w:t>
            </w:r>
            <w:r>
              <w:rPr>
                <w:rFonts w:ascii="Calibri" w:hAnsi="Calibri" w:cs="Calibri"/>
              </w:rPr>
              <w:t>?</w:t>
            </w:r>
            <w:r w:rsidRPr="00A374A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6250D8" w:rsidRDefault="006250D8" w:rsidP="006250D8">
            <w:pPr>
              <w:numPr>
                <w:ilvl w:val="1"/>
                <w:numId w:val="17"/>
              </w:numPr>
              <w:ind w:left="499" w:hanging="499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 typical cycle for case assignment?  For example, are cases assigned immediately as they come in, once per day/week/bi-monthly/monthly?</w:t>
            </w:r>
            <w:r w:rsidRPr="00A374AB">
              <w:rPr>
                <w:color w:val="FF0000"/>
              </w:rPr>
              <w:t xml:space="preserve"> </w:t>
            </w:r>
          </w:p>
          <w:p w:rsidR="006250D8" w:rsidRPr="00A374AB" w:rsidRDefault="006250D8" w:rsidP="006250D8">
            <w:pPr>
              <w:numPr>
                <w:ilvl w:val="1"/>
                <w:numId w:val="17"/>
              </w:numPr>
              <w:ind w:left="499" w:hanging="499"/>
              <w:textAlignment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Is the current assignment cycle a constraint or is it possible to change the assignment cycle?</w:t>
            </w:r>
            <w:r w:rsidRPr="00A374AB">
              <w:rPr>
                <w:rFonts w:ascii="Calibri" w:hAnsi="Calibri" w:cs="Calibri"/>
              </w:rPr>
              <w:t xml:space="preserve"> </w:t>
            </w:r>
          </w:p>
          <w:p w:rsidR="00F14D04" w:rsidRPr="00F11BA5" w:rsidRDefault="00F14D04" w:rsidP="00F11BA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14D04" w:rsidRPr="00F11BA5" w:rsidTr="002A3426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D8" w:rsidRPr="006250D8" w:rsidRDefault="006250D8" w:rsidP="001770D8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0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 Yes. </w:t>
            </w:r>
          </w:p>
          <w:p w:rsidR="00EF749E" w:rsidRDefault="006250D8" w:rsidP="00EF749E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0D8">
              <w:rPr>
                <w:rFonts w:ascii="Calibri" w:hAnsi="Calibri" w:cs="Calibri"/>
                <w:color w:val="000000"/>
                <w:sz w:val="22"/>
                <w:szCs w:val="22"/>
              </w:rPr>
              <w:t>b. Cases are assigned to case managers at case transfer staffings. This is the point wherein a child protective investigator is replaced with a case manager as the primary person on the case.</w:t>
            </w:r>
          </w:p>
          <w:p w:rsidR="006250D8" w:rsidRPr="006250D8" w:rsidRDefault="006250D8" w:rsidP="00EF749E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250D8">
              <w:rPr>
                <w:rFonts w:ascii="Calibri" w:hAnsi="Calibri" w:cs="Calibri"/>
                <w:color w:val="000000"/>
                <w:sz w:val="22"/>
                <w:szCs w:val="22"/>
              </w:rPr>
              <w:t>c.</w:t>
            </w:r>
            <w:r w:rsidRPr="006250D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</w:t>
            </w:r>
            <w:r w:rsidRPr="006250D8">
              <w:rPr>
                <w:rFonts w:ascii="Calibri" w:hAnsi="Calibri" w:cs="Calibri"/>
                <w:color w:val="000000"/>
                <w:sz w:val="22"/>
                <w:szCs w:val="22"/>
              </w:rPr>
              <w:t>Case transfer staffings are on pre-established days during the week. We may be able to influence this.</w:t>
            </w:r>
          </w:p>
        </w:tc>
      </w:tr>
      <w:tr w:rsidR="00F14D04" w:rsidRPr="00F11BA5" w:rsidTr="002A3426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 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2" w:rsidRPr="00F72E73" w:rsidRDefault="001656D2" w:rsidP="001656D2">
            <w:pPr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 xml:space="preserve">Section C Question 14, asks for on-premises hardware and software requirements.       </w:t>
            </w:r>
          </w:p>
          <w:p w:rsidR="001656D2" w:rsidRPr="00F72E73" w:rsidRDefault="001656D2" w:rsidP="001656D2">
            <w:pPr>
              <w:numPr>
                <w:ilvl w:val="1"/>
                <w:numId w:val="18"/>
              </w:numPr>
              <w:ind w:left="499" w:hanging="499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 xml:space="preserve">Do you want us to provide specs for new hardware &amp; software or do intend to implement on existing equipment? </w:t>
            </w:r>
          </w:p>
          <w:p w:rsidR="001656D2" w:rsidRPr="001656D2" w:rsidRDefault="001656D2" w:rsidP="001656D2">
            <w:pPr>
              <w:numPr>
                <w:ilvl w:val="2"/>
                <w:numId w:val="16"/>
              </w:numPr>
              <w:ind w:left="679" w:hanging="90"/>
              <w:textAlignment w:val="center"/>
              <w:rPr>
                <w:rFonts w:ascii="Calibri" w:hAnsi="Calibri" w:cs="Calibri"/>
                <w:i/>
                <w:iCs/>
                <w:color w:val="4472C4"/>
              </w:rPr>
            </w:pPr>
            <w:r w:rsidRPr="00F72E73">
              <w:rPr>
                <w:rFonts w:ascii="Calibri" w:hAnsi="Calibri" w:cs="Calibri"/>
              </w:rPr>
              <w:t xml:space="preserve">If existing equipment, can you provide the specs of the current equipment </w:t>
            </w:r>
            <w:r>
              <w:rPr>
                <w:rFonts w:ascii="Calibri" w:hAnsi="Calibri" w:cs="Calibri"/>
              </w:rPr>
              <w:t xml:space="preserve">you </w:t>
            </w:r>
            <w:r w:rsidRPr="00F72E73">
              <w:rPr>
                <w:rFonts w:ascii="Calibri" w:hAnsi="Calibri" w:cs="Calibri"/>
              </w:rPr>
              <w:t>want to use?</w:t>
            </w:r>
          </w:p>
          <w:p w:rsidR="001656D2" w:rsidRPr="001656D2" w:rsidRDefault="001656D2" w:rsidP="001656D2">
            <w:pPr>
              <w:numPr>
                <w:ilvl w:val="2"/>
                <w:numId w:val="16"/>
              </w:numPr>
              <w:ind w:left="679" w:hanging="90"/>
              <w:textAlignment w:val="center"/>
              <w:rPr>
                <w:rFonts w:ascii="Calibri" w:hAnsi="Calibri" w:cs="Calibri"/>
                <w:i/>
                <w:iCs/>
                <w:color w:val="4472C4"/>
              </w:rPr>
            </w:pPr>
            <w:r w:rsidRPr="001656D2">
              <w:rPr>
                <w:rFonts w:ascii="Calibri" w:hAnsi="Calibri" w:cs="Calibri"/>
              </w:rPr>
              <w:t xml:space="preserve">If new equipment, should the proposal include purchase, installation and setup costs or only make a recommendation on the specifications for your team to purchase and install? </w:t>
            </w:r>
          </w:p>
          <w:p w:rsidR="00F14D04" w:rsidRPr="001656D2" w:rsidRDefault="001656D2" w:rsidP="001656D2">
            <w:pPr>
              <w:numPr>
                <w:ilvl w:val="2"/>
                <w:numId w:val="16"/>
              </w:numPr>
              <w:spacing w:after="160" w:line="259" w:lineRule="auto"/>
              <w:ind w:left="679" w:hanging="90"/>
              <w:textAlignment w:val="center"/>
              <w:rPr>
                <w:rFonts w:ascii="Calibri" w:hAnsi="Calibri" w:cs="Calibri"/>
                <w:color w:val="4472C4"/>
              </w:rPr>
            </w:pPr>
            <w:r w:rsidRPr="001656D2">
              <w:rPr>
                <w:rFonts w:ascii="Calibri" w:hAnsi="Calibri" w:cs="Calibri"/>
              </w:rPr>
              <w:t>In either case we can provide estimates of minimum recommended equipment specs concerning RAM, storage and CPU capabilities.  Is there anything beyond this you are looking for in the hardware / software recommendations?</w:t>
            </w:r>
          </w:p>
        </w:tc>
      </w:tr>
      <w:tr w:rsidR="00F14D04" w:rsidRPr="00F11BA5" w:rsidTr="002A3426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04" w:rsidRPr="001656D2" w:rsidRDefault="001656D2" w:rsidP="00F14D04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6D2">
              <w:rPr>
                <w:rFonts w:ascii="Calibri" w:hAnsi="Calibri" w:cs="Calibri"/>
                <w:color w:val="000000"/>
                <w:sz w:val="22"/>
                <w:szCs w:val="22"/>
              </w:rPr>
              <w:t>a. Preferably on existing hardware</w:t>
            </w:r>
          </w:p>
          <w:p w:rsidR="001656D2" w:rsidRDefault="001656D2" w:rsidP="00F14D04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6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a.i.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D831003">
                  <wp:extent cx="4190319" cy="199644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08" cy="200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56D2" w:rsidRDefault="001656D2" w:rsidP="00F14D04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a.ii. </w:t>
            </w:r>
            <w:r w:rsidRPr="001656D2">
              <w:rPr>
                <w:rFonts w:ascii="Calibri" w:hAnsi="Calibri" w:cs="Calibri"/>
                <w:color w:val="000000"/>
                <w:sz w:val="22"/>
                <w:szCs w:val="22"/>
              </w:rPr>
              <w:t>If new equipment is required, purchase, installation and setup can be included.  Installation and setup of the tool should be included regardless of the equipment used.</w:t>
            </w:r>
          </w:p>
          <w:p w:rsidR="001656D2" w:rsidRPr="00F11BA5" w:rsidRDefault="001656D2" w:rsidP="00F14D04">
            <w:pPr>
              <w:pStyle w:val="NormalWeb"/>
              <w:tabs>
                <w:tab w:val="left" w:pos="4785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a.iii.</w:t>
            </w:r>
            <w:r w:rsidRPr="001656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Open source data platforms such as Python and R are preferred.  Windows compatibility is preferred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14D04" w:rsidRPr="00F11BA5" w:rsidTr="002A3426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Question 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2" w:rsidRDefault="001656D2" w:rsidP="001656D2">
            <w:pPr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 xml:space="preserve">Are </w:t>
            </w:r>
            <w:r>
              <w:rPr>
                <w:rFonts w:ascii="Calibri" w:hAnsi="Calibri" w:cs="Calibri"/>
              </w:rPr>
              <w:t xml:space="preserve">all </w:t>
            </w:r>
            <w:r w:rsidRPr="00F72E73">
              <w:rPr>
                <w:rFonts w:ascii="Calibri" w:hAnsi="Calibri" w:cs="Calibri"/>
              </w:rPr>
              <w:t xml:space="preserve">types of insurance listed in Section E:  C. Required Appendices and Additional Information, 7. Proof of Agency insurance </w:t>
            </w:r>
            <w:r>
              <w:rPr>
                <w:rFonts w:ascii="Calibri" w:hAnsi="Calibri" w:cs="Calibri"/>
              </w:rPr>
              <w:t>required to be considered for the project?</w:t>
            </w:r>
          </w:p>
          <w:p w:rsidR="001656D2" w:rsidRDefault="001656D2" w:rsidP="001656D2">
            <w:pPr>
              <w:numPr>
                <w:ilvl w:val="1"/>
                <w:numId w:val="19"/>
              </w:numPr>
              <w:ind w:left="409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>General Liability</w:t>
            </w:r>
          </w:p>
          <w:p w:rsidR="001656D2" w:rsidRDefault="001656D2" w:rsidP="001656D2">
            <w:pPr>
              <w:numPr>
                <w:ilvl w:val="1"/>
                <w:numId w:val="19"/>
              </w:numPr>
              <w:ind w:left="409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>Property Casualty</w:t>
            </w:r>
          </w:p>
          <w:p w:rsidR="001656D2" w:rsidRDefault="001656D2" w:rsidP="001656D2">
            <w:pPr>
              <w:numPr>
                <w:ilvl w:val="1"/>
                <w:numId w:val="19"/>
              </w:numPr>
              <w:ind w:left="409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>Directors and Officers</w:t>
            </w:r>
          </w:p>
          <w:p w:rsidR="001656D2" w:rsidRDefault="001656D2" w:rsidP="001656D2">
            <w:pPr>
              <w:numPr>
                <w:ilvl w:val="1"/>
                <w:numId w:val="19"/>
              </w:numPr>
              <w:ind w:left="409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>Professional Liability</w:t>
            </w:r>
          </w:p>
          <w:p w:rsidR="001656D2" w:rsidRDefault="001656D2" w:rsidP="001656D2">
            <w:pPr>
              <w:numPr>
                <w:ilvl w:val="1"/>
                <w:numId w:val="19"/>
              </w:numPr>
              <w:ind w:left="409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>Sexual Abuse and Molestation (if applicable)</w:t>
            </w:r>
            <w:r>
              <w:rPr>
                <w:rFonts w:ascii="Calibri" w:hAnsi="Calibri" w:cs="Calibri"/>
              </w:rPr>
              <w:t xml:space="preserve"> </w:t>
            </w:r>
          </w:p>
          <w:p w:rsidR="001656D2" w:rsidRDefault="001656D2" w:rsidP="001656D2">
            <w:pPr>
              <w:numPr>
                <w:ilvl w:val="1"/>
                <w:numId w:val="19"/>
              </w:numPr>
              <w:ind w:left="409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>Umbrella</w:t>
            </w:r>
          </w:p>
          <w:p w:rsidR="001656D2" w:rsidRDefault="001656D2" w:rsidP="001656D2">
            <w:pPr>
              <w:numPr>
                <w:ilvl w:val="1"/>
                <w:numId w:val="19"/>
              </w:numPr>
              <w:ind w:left="409"/>
              <w:textAlignment w:val="center"/>
              <w:rPr>
                <w:rFonts w:ascii="Calibri" w:hAnsi="Calibri" w:cs="Calibri"/>
              </w:rPr>
            </w:pPr>
            <w:r w:rsidRPr="00F72E73">
              <w:rPr>
                <w:rFonts w:ascii="Calibri" w:hAnsi="Calibri" w:cs="Calibri"/>
              </w:rPr>
              <w:t>Worker's Compensation</w:t>
            </w:r>
          </w:p>
          <w:p w:rsidR="00F14D04" w:rsidRPr="00F11BA5" w:rsidRDefault="00F14D04" w:rsidP="00F14D04">
            <w:pPr>
              <w:pStyle w:val="NormalWeb"/>
              <w:tabs>
                <w:tab w:val="left" w:pos="4785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4D04" w:rsidRPr="00F11BA5" w:rsidTr="002A3426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04" w:rsidRPr="00312101" w:rsidRDefault="00B2587C" w:rsidP="00B2587C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2101">
              <w:rPr>
                <w:rFonts w:ascii="Calibri" w:hAnsi="Calibri" w:cs="Calibri"/>
                <w:sz w:val="22"/>
                <w:szCs w:val="22"/>
              </w:rPr>
              <w:t xml:space="preserve">Insurance limits can be discussed as this </w:t>
            </w:r>
            <w:r w:rsidR="00312101" w:rsidRPr="00312101">
              <w:rPr>
                <w:rFonts w:ascii="Calibri" w:hAnsi="Calibri" w:cs="Calibri"/>
                <w:sz w:val="22"/>
                <w:szCs w:val="22"/>
              </w:rPr>
              <w:t>contract</w:t>
            </w:r>
            <w:r w:rsidRPr="00312101">
              <w:rPr>
                <w:rFonts w:ascii="Calibri" w:hAnsi="Calibri" w:cs="Calibri"/>
                <w:sz w:val="22"/>
                <w:szCs w:val="22"/>
              </w:rPr>
              <w:t xml:space="preserve"> would not have direct contact with clients. At a minimum, General and Professional Liability is required. </w:t>
            </w:r>
          </w:p>
        </w:tc>
      </w:tr>
      <w:tr w:rsidR="00F14D04" w:rsidRPr="00F11BA5" w:rsidTr="002A3426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F14D04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 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04" w:rsidRPr="00312101" w:rsidRDefault="001656D2" w:rsidP="00F14D04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2101">
              <w:rPr>
                <w:rFonts w:ascii="Calibri" w:hAnsi="Calibri" w:cs="Calibri"/>
                <w:color w:val="000000"/>
                <w:sz w:val="22"/>
                <w:szCs w:val="22"/>
              </w:rPr>
              <w:t>Is the Independent Audit and Management Letter a requirement to be considered</w:t>
            </w:r>
            <w:r w:rsidRPr="003121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?</w:t>
            </w:r>
          </w:p>
        </w:tc>
      </w:tr>
      <w:tr w:rsidR="00F14D04" w:rsidRPr="00F11BA5" w:rsidTr="00F11BA5">
        <w:trPr>
          <w:trHeight w:val="31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04" w:rsidRPr="00CC19A1" w:rsidRDefault="00CC19A1" w:rsidP="00CC19A1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19A1">
              <w:rPr>
                <w:rFonts w:ascii="Calibri" w:hAnsi="Calibri" w:cs="Calibri"/>
                <w:color w:val="000000"/>
                <w:sz w:val="22"/>
                <w:szCs w:val="22"/>
              </w:rPr>
              <w:t>If the agency does not expend $750,000 or more in Federal and/or State awards during its fiscal year, the agency is exempt from the requirement to have a federal single, state single or program-specific audit  conducted in accordance with the provisions of 2 CFR §§ 200.500- 200.521, and Section 215.97, Florida Statutes; applicable rules of the Department of Financial Services; and Chapters 10.550 (local governmental entities) or 10.650 (nonprofit and for-profit organizations), Rules of the Auditor General.</w:t>
            </w:r>
          </w:p>
        </w:tc>
      </w:tr>
      <w:tr w:rsidR="00F14D04" w:rsidRPr="00F11BA5" w:rsidTr="002A3426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 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2" w:rsidRPr="001656D2" w:rsidRDefault="001656D2" w:rsidP="001656D2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6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there flexibility in the project start date of April 20, 2020 there seem to be overlapping statements of start date expectation?  </w:t>
            </w:r>
          </w:p>
          <w:p w:rsidR="001656D2" w:rsidRPr="001656D2" w:rsidRDefault="001656D2" w:rsidP="001656D2">
            <w:pPr>
              <w:pStyle w:val="NormalWeb"/>
              <w:numPr>
                <w:ilvl w:val="1"/>
                <w:numId w:val="21"/>
              </w:numPr>
              <w:tabs>
                <w:tab w:val="left" w:pos="814"/>
                <w:tab w:val="left" w:pos="1114"/>
                <w:tab w:val="left" w:pos="4785"/>
              </w:tabs>
              <w:ind w:left="409" w:hanging="4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6D2">
              <w:rPr>
                <w:rFonts w:ascii="Calibri" w:hAnsi="Calibri" w:cs="Calibri"/>
                <w:color w:val="000000"/>
                <w:sz w:val="22"/>
                <w:szCs w:val="22"/>
              </w:rPr>
              <w:t>Section A:  5. Term of Agreement (page 5) - indicates the project will begin on or before April 20,2020</w:t>
            </w:r>
          </w:p>
          <w:p w:rsidR="001656D2" w:rsidRPr="001656D2" w:rsidRDefault="001656D2" w:rsidP="001656D2">
            <w:pPr>
              <w:pStyle w:val="NormalWeb"/>
              <w:numPr>
                <w:ilvl w:val="1"/>
                <w:numId w:val="21"/>
              </w:numPr>
              <w:tabs>
                <w:tab w:val="left" w:pos="814"/>
                <w:tab w:val="left" w:pos="1114"/>
                <w:tab w:val="left" w:pos="4785"/>
              </w:tabs>
              <w:ind w:left="409" w:hanging="4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6D2">
              <w:rPr>
                <w:rFonts w:ascii="Calibri" w:hAnsi="Calibri" w:cs="Calibri"/>
                <w:color w:val="000000"/>
                <w:sz w:val="22"/>
                <w:szCs w:val="22"/>
              </w:rPr>
              <w:t>Section B:   Schedule of Events and Deadlines (page 7) - indicates anticipated effective date between 04.20.20 - 09.30.20.</w:t>
            </w:r>
          </w:p>
          <w:p w:rsidR="00F14D04" w:rsidRPr="00F11BA5" w:rsidRDefault="00F14D04" w:rsidP="00F14D04">
            <w:pPr>
              <w:pStyle w:val="NormalWeb"/>
              <w:tabs>
                <w:tab w:val="left" w:pos="4785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14D04" w:rsidRPr="00F11BA5" w:rsidTr="00A01D3E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14D04" w:rsidRPr="00F11BA5" w:rsidRDefault="00F14D04" w:rsidP="002A3426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1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Answer 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04" w:rsidRDefault="001656D2" w:rsidP="00F14D04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587C">
              <w:rPr>
                <w:rFonts w:ascii="Calibri" w:hAnsi="Calibri" w:cs="Calibri"/>
                <w:color w:val="000000"/>
                <w:sz w:val="22"/>
                <w:szCs w:val="22"/>
              </w:rPr>
              <w:t>While there is some flexibility, the initial “tool” will need to be developed in time for us to pilot and fully launch it before September 30, 2020.</w:t>
            </w:r>
          </w:p>
          <w:p w:rsidR="00312101" w:rsidRPr="00B2587C" w:rsidRDefault="00312101" w:rsidP="00F14D04">
            <w:pPr>
              <w:pStyle w:val="NormalWeb"/>
              <w:tabs>
                <w:tab w:val="left" w:pos="478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D23CE" w:rsidRPr="00F11BA5" w:rsidRDefault="00BD23CE" w:rsidP="002A3426">
      <w:pPr>
        <w:ind w:right="520"/>
        <w:rPr>
          <w:rFonts w:asciiTheme="minorHAnsi" w:hAnsiTheme="minorHAnsi" w:cstheme="minorHAnsi"/>
          <w:b/>
          <w:sz w:val="20"/>
          <w:szCs w:val="20"/>
        </w:rPr>
      </w:pPr>
    </w:p>
    <w:p w:rsidR="001F557E" w:rsidRPr="00B2587C" w:rsidRDefault="001F557E" w:rsidP="00B2587C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1F557E" w:rsidRPr="001F557E" w:rsidRDefault="001F557E" w:rsidP="001F557E">
      <w:pPr>
        <w:rPr>
          <w:rFonts w:asciiTheme="minorHAnsi" w:hAnsiTheme="minorHAnsi" w:cstheme="minorHAnsi"/>
          <w:sz w:val="20"/>
          <w:szCs w:val="20"/>
        </w:rPr>
      </w:pPr>
    </w:p>
    <w:p w:rsidR="001F557E" w:rsidRPr="001F557E" w:rsidRDefault="001F557E" w:rsidP="001F557E">
      <w:pPr>
        <w:rPr>
          <w:rFonts w:asciiTheme="minorHAnsi" w:hAnsiTheme="minorHAnsi" w:cstheme="minorHAnsi"/>
          <w:sz w:val="20"/>
          <w:szCs w:val="20"/>
        </w:rPr>
      </w:pPr>
    </w:p>
    <w:p w:rsidR="001F557E" w:rsidRPr="001F557E" w:rsidRDefault="001F557E" w:rsidP="001F557E">
      <w:pPr>
        <w:rPr>
          <w:rFonts w:asciiTheme="minorHAnsi" w:hAnsiTheme="minorHAnsi" w:cstheme="minorHAnsi"/>
          <w:sz w:val="20"/>
          <w:szCs w:val="20"/>
        </w:rPr>
      </w:pPr>
    </w:p>
    <w:p w:rsidR="001F557E" w:rsidRPr="001F557E" w:rsidRDefault="001F557E" w:rsidP="001F557E">
      <w:pPr>
        <w:rPr>
          <w:rFonts w:asciiTheme="minorHAnsi" w:hAnsiTheme="minorHAnsi" w:cstheme="minorHAnsi"/>
          <w:sz w:val="20"/>
          <w:szCs w:val="20"/>
        </w:rPr>
      </w:pPr>
    </w:p>
    <w:p w:rsidR="001F557E" w:rsidRPr="001F557E" w:rsidRDefault="001F557E" w:rsidP="001F557E">
      <w:pPr>
        <w:rPr>
          <w:rFonts w:asciiTheme="minorHAnsi" w:hAnsiTheme="minorHAnsi" w:cstheme="minorHAnsi"/>
          <w:sz w:val="20"/>
          <w:szCs w:val="20"/>
        </w:rPr>
      </w:pPr>
    </w:p>
    <w:p w:rsidR="001F557E" w:rsidRPr="001F557E" w:rsidRDefault="001F557E" w:rsidP="001F557E">
      <w:pPr>
        <w:rPr>
          <w:rFonts w:asciiTheme="minorHAnsi" w:hAnsiTheme="minorHAnsi" w:cstheme="minorHAnsi"/>
          <w:sz w:val="20"/>
          <w:szCs w:val="20"/>
        </w:rPr>
      </w:pPr>
    </w:p>
    <w:p w:rsidR="001F557E" w:rsidRPr="001F557E" w:rsidRDefault="001F557E" w:rsidP="001F557E">
      <w:pPr>
        <w:rPr>
          <w:rFonts w:asciiTheme="minorHAnsi" w:hAnsiTheme="minorHAnsi" w:cstheme="minorHAnsi"/>
          <w:sz w:val="20"/>
          <w:szCs w:val="20"/>
        </w:rPr>
      </w:pPr>
    </w:p>
    <w:p w:rsidR="001F557E" w:rsidRPr="001F557E" w:rsidRDefault="001F557E" w:rsidP="001F557E">
      <w:pPr>
        <w:rPr>
          <w:rFonts w:asciiTheme="minorHAnsi" w:hAnsiTheme="minorHAnsi" w:cstheme="minorHAnsi"/>
          <w:sz w:val="20"/>
          <w:szCs w:val="20"/>
        </w:rPr>
      </w:pPr>
    </w:p>
    <w:p w:rsidR="001F557E" w:rsidRDefault="001F557E" w:rsidP="001F557E">
      <w:pPr>
        <w:rPr>
          <w:rFonts w:asciiTheme="minorHAnsi" w:hAnsiTheme="minorHAnsi" w:cstheme="minorHAnsi"/>
          <w:sz w:val="20"/>
          <w:szCs w:val="20"/>
        </w:rPr>
      </w:pPr>
    </w:p>
    <w:p w:rsidR="00C50F37" w:rsidRPr="001F557E" w:rsidRDefault="00C50F37" w:rsidP="001F557E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C50F37" w:rsidRPr="001F557E" w:rsidSect="00A22D25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EE" w:rsidRDefault="003864EE" w:rsidP="00730420">
      <w:r>
        <w:separator/>
      </w:r>
    </w:p>
  </w:endnote>
  <w:endnote w:type="continuationSeparator" w:id="0">
    <w:p w:rsidR="003864EE" w:rsidRDefault="003864EE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33717" w:rsidRDefault="00C51B1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37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3717" w:rsidRDefault="00A33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33717" w:rsidRPr="001770D8" w:rsidRDefault="00C51B16">
        <w:pPr>
          <w:pStyle w:val="Footer"/>
          <w:jc w:val="center"/>
          <w:rPr>
            <w:sz w:val="20"/>
            <w:szCs w:val="20"/>
          </w:rPr>
        </w:pPr>
        <w:r w:rsidRPr="001F557E">
          <w:rPr>
            <w:rFonts w:asciiTheme="minorHAnsi" w:hAnsiTheme="minorHAnsi" w:cstheme="minorHAnsi"/>
            <w:noProof/>
            <w:sz w:val="20"/>
            <w:szCs w:val="20"/>
          </w:rPr>
          <w:fldChar w:fldCharType="begin"/>
        </w:r>
        <w:r w:rsidRPr="001F557E">
          <w:rPr>
            <w:rFonts w:asciiTheme="minorHAnsi" w:hAnsiTheme="minorHAnsi" w:cstheme="minorHAnsi"/>
            <w:noProof/>
            <w:sz w:val="20"/>
            <w:szCs w:val="20"/>
          </w:rPr>
          <w:instrText xml:space="preserve"> PAGE   \* MERGEFORMAT </w:instrText>
        </w:r>
        <w:r w:rsidRPr="001F557E">
          <w:rPr>
            <w:rFonts w:asciiTheme="minorHAnsi" w:hAnsiTheme="minorHAnsi" w:cstheme="minorHAnsi"/>
            <w:noProof/>
            <w:sz w:val="20"/>
            <w:szCs w:val="20"/>
          </w:rPr>
          <w:fldChar w:fldCharType="separate"/>
        </w:r>
        <w:r w:rsidR="0031210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1F557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A33717" w:rsidRDefault="00A33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EE" w:rsidRDefault="003864EE" w:rsidP="00730420">
      <w:r>
        <w:separator/>
      </w:r>
    </w:p>
  </w:footnote>
  <w:footnote w:type="continuationSeparator" w:id="0">
    <w:p w:rsidR="003864EE" w:rsidRDefault="003864EE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17" w:rsidRDefault="004348E9" w:rsidP="004348E9">
    <w:pPr>
      <w:pStyle w:val="Header"/>
      <w:ind w:hanging="720"/>
    </w:pPr>
    <w:r>
      <w:rPr>
        <w:noProof/>
      </w:rPr>
      <w:drawing>
        <wp:inline distT="0" distB="0" distL="0" distR="0" wp14:anchorId="4BC0354A">
          <wp:extent cx="1730617" cy="680357"/>
          <wp:effectExtent l="0" t="0" r="317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584" cy="6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363"/>
    <w:multiLevelType w:val="multilevel"/>
    <w:tmpl w:val="E474C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01EDB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143C"/>
    <w:multiLevelType w:val="hybridMultilevel"/>
    <w:tmpl w:val="2E0CD814"/>
    <w:numStyleLink w:val="Lettered"/>
  </w:abstractNum>
  <w:abstractNum w:abstractNumId="3" w15:restartNumberingAfterBreak="0">
    <w:nsid w:val="118019DB"/>
    <w:multiLevelType w:val="hybridMultilevel"/>
    <w:tmpl w:val="23DC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AE8D48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693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45F5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F4465"/>
    <w:multiLevelType w:val="hybridMultilevel"/>
    <w:tmpl w:val="31B418E2"/>
    <w:lvl w:ilvl="0" w:tplc="E42E3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16101"/>
    <w:multiLevelType w:val="hybridMultilevel"/>
    <w:tmpl w:val="23DC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AE8D48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7358"/>
    <w:multiLevelType w:val="hybridMultilevel"/>
    <w:tmpl w:val="23DC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AE8D48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136F0"/>
    <w:multiLevelType w:val="hybridMultilevel"/>
    <w:tmpl w:val="924C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821F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1DE92C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247F7"/>
    <w:multiLevelType w:val="hybridMultilevel"/>
    <w:tmpl w:val="2E0CD814"/>
    <w:styleLink w:val="Lettered"/>
    <w:lvl w:ilvl="0" w:tplc="242E823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87EC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24AB5E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46EC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E00D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27E4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85060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A1CC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B031D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B0099"/>
    <w:multiLevelType w:val="hybridMultilevel"/>
    <w:tmpl w:val="23DC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AE8D48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B2F3E"/>
    <w:multiLevelType w:val="hybridMultilevel"/>
    <w:tmpl w:val="2EF4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39EB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7D8F"/>
    <w:multiLevelType w:val="hybridMultilevel"/>
    <w:tmpl w:val="E0A0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DE92C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57214"/>
    <w:multiLevelType w:val="hybridMultilevel"/>
    <w:tmpl w:val="F8EA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33234"/>
    <w:multiLevelType w:val="hybridMultilevel"/>
    <w:tmpl w:val="FBBA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42695"/>
    <w:multiLevelType w:val="hybridMultilevel"/>
    <w:tmpl w:val="91D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A65AC"/>
    <w:multiLevelType w:val="multilevel"/>
    <w:tmpl w:val="9E9C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17"/>
  </w:num>
  <w:num w:numId="7">
    <w:abstractNumId w:val="15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16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007B5"/>
    <w:rsid w:val="00006E08"/>
    <w:rsid w:val="00015C5E"/>
    <w:rsid w:val="0007589A"/>
    <w:rsid w:val="000925CB"/>
    <w:rsid w:val="000968FC"/>
    <w:rsid w:val="000A1730"/>
    <w:rsid w:val="000B2619"/>
    <w:rsid w:val="000E0823"/>
    <w:rsid w:val="00130066"/>
    <w:rsid w:val="00164122"/>
    <w:rsid w:val="001656D2"/>
    <w:rsid w:val="001770D8"/>
    <w:rsid w:val="001E091D"/>
    <w:rsid w:val="001F2E0A"/>
    <w:rsid w:val="001F3EA9"/>
    <w:rsid w:val="001F557E"/>
    <w:rsid w:val="00217A35"/>
    <w:rsid w:val="0024779E"/>
    <w:rsid w:val="00262ECF"/>
    <w:rsid w:val="002A264E"/>
    <w:rsid w:val="002A3426"/>
    <w:rsid w:val="002A7122"/>
    <w:rsid w:val="002B3DEC"/>
    <w:rsid w:val="002C1224"/>
    <w:rsid w:val="00301D4A"/>
    <w:rsid w:val="00312101"/>
    <w:rsid w:val="003352A7"/>
    <w:rsid w:val="003864EE"/>
    <w:rsid w:val="003A7C95"/>
    <w:rsid w:val="003F6A7D"/>
    <w:rsid w:val="00420C48"/>
    <w:rsid w:val="004348E9"/>
    <w:rsid w:val="004760C6"/>
    <w:rsid w:val="00482EA6"/>
    <w:rsid w:val="004864AD"/>
    <w:rsid w:val="004B1BAF"/>
    <w:rsid w:val="004D7616"/>
    <w:rsid w:val="005376E9"/>
    <w:rsid w:val="005D70B7"/>
    <w:rsid w:val="005E33E5"/>
    <w:rsid w:val="005F274C"/>
    <w:rsid w:val="006250D8"/>
    <w:rsid w:val="0065514E"/>
    <w:rsid w:val="006A24D1"/>
    <w:rsid w:val="006A3532"/>
    <w:rsid w:val="006D3C43"/>
    <w:rsid w:val="00705FA6"/>
    <w:rsid w:val="007178A3"/>
    <w:rsid w:val="00730420"/>
    <w:rsid w:val="007333A1"/>
    <w:rsid w:val="00762CB2"/>
    <w:rsid w:val="007C2E39"/>
    <w:rsid w:val="007E64FD"/>
    <w:rsid w:val="00812AB1"/>
    <w:rsid w:val="00827FFE"/>
    <w:rsid w:val="008A58B8"/>
    <w:rsid w:val="008E7196"/>
    <w:rsid w:val="008F4C9A"/>
    <w:rsid w:val="009744E4"/>
    <w:rsid w:val="009B6F0E"/>
    <w:rsid w:val="009F718E"/>
    <w:rsid w:val="00A01D3E"/>
    <w:rsid w:val="00A06FA1"/>
    <w:rsid w:val="00A22D25"/>
    <w:rsid w:val="00A33717"/>
    <w:rsid w:val="00A34719"/>
    <w:rsid w:val="00A53BCA"/>
    <w:rsid w:val="00A901F7"/>
    <w:rsid w:val="00AC24EC"/>
    <w:rsid w:val="00AD15A4"/>
    <w:rsid w:val="00AD269F"/>
    <w:rsid w:val="00B037F2"/>
    <w:rsid w:val="00B2587C"/>
    <w:rsid w:val="00B272EE"/>
    <w:rsid w:val="00B35562"/>
    <w:rsid w:val="00B379C1"/>
    <w:rsid w:val="00B641BA"/>
    <w:rsid w:val="00B75E7E"/>
    <w:rsid w:val="00BC76AC"/>
    <w:rsid w:val="00BD23CE"/>
    <w:rsid w:val="00C25EA9"/>
    <w:rsid w:val="00C420CE"/>
    <w:rsid w:val="00C50F37"/>
    <w:rsid w:val="00C51B16"/>
    <w:rsid w:val="00CC19A1"/>
    <w:rsid w:val="00CD1D9B"/>
    <w:rsid w:val="00D429F8"/>
    <w:rsid w:val="00D9239B"/>
    <w:rsid w:val="00D97D96"/>
    <w:rsid w:val="00D97ECA"/>
    <w:rsid w:val="00DA4A99"/>
    <w:rsid w:val="00DC543A"/>
    <w:rsid w:val="00DD7D1A"/>
    <w:rsid w:val="00E00D76"/>
    <w:rsid w:val="00E13E9A"/>
    <w:rsid w:val="00E22C95"/>
    <w:rsid w:val="00E30024"/>
    <w:rsid w:val="00E6471C"/>
    <w:rsid w:val="00EA14CA"/>
    <w:rsid w:val="00EF749E"/>
    <w:rsid w:val="00F11BA5"/>
    <w:rsid w:val="00F1413B"/>
    <w:rsid w:val="00F14D04"/>
    <w:rsid w:val="00F7718D"/>
    <w:rsid w:val="00F976BC"/>
    <w:rsid w:val="00F97D23"/>
    <w:rsid w:val="00FA4D99"/>
    <w:rsid w:val="00F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FC79771-87A3-4874-A38B-CFBD39A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3426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3471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719"/>
    <w:rPr>
      <w:rFonts w:ascii="Consolas" w:hAnsi="Consolas"/>
      <w:sz w:val="21"/>
      <w:szCs w:val="21"/>
    </w:rPr>
  </w:style>
  <w:style w:type="numbering" w:customStyle="1" w:styleId="Lettered">
    <w:name w:val="Lettered"/>
    <w:rsid w:val="00D97EC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00BBB-67D8-4938-BED3-1C51CEEA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susan.lowe</dc:creator>
  <cp:keywords/>
  <dc:description/>
  <cp:lastModifiedBy>Wendy Land</cp:lastModifiedBy>
  <cp:revision>2</cp:revision>
  <cp:lastPrinted>2019-08-14T17:49:00Z</cp:lastPrinted>
  <dcterms:created xsi:type="dcterms:W3CDTF">2020-03-03T20:57:00Z</dcterms:created>
  <dcterms:modified xsi:type="dcterms:W3CDTF">2020-03-03T20:57:00Z</dcterms:modified>
</cp:coreProperties>
</file>